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C1FFC" w14:textId="77777777" w:rsidR="004B7302" w:rsidRDefault="004B7302">
      <w:pPr>
        <w:spacing w:after="0" w:line="240" w:lineRule="auto"/>
        <w:ind w:left="10773" w:right="-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Додаток 3</w:t>
      </w:r>
    </w:p>
    <w:p w14:paraId="7633C974" w14:textId="77777777" w:rsidR="004B7302" w:rsidRDefault="004B7302">
      <w:pPr>
        <w:spacing w:after="0" w:line="240" w:lineRule="auto"/>
        <w:ind w:left="10773" w:right="-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розпорядження начальника</w:t>
      </w:r>
    </w:p>
    <w:p w14:paraId="3BC46F36" w14:textId="77777777" w:rsidR="004B7302" w:rsidRDefault="004B7302">
      <w:pPr>
        <w:spacing w:after="0" w:line="240" w:lineRule="auto"/>
        <w:ind w:left="10773" w:right="-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обласної військової адміністрації</w:t>
      </w:r>
    </w:p>
    <w:p w14:paraId="79EB3F0F" w14:textId="77777777" w:rsidR="004B7302" w:rsidRDefault="004B7302">
      <w:pPr>
        <w:spacing w:after="0" w:line="240" w:lineRule="auto"/>
        <w:ind w:left="10773" w:right="-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 _____________ № _______</w:t>
      </w:r>
    </w:p>
    <w:p w14:paraId="50DF177D" w14:textId="77777777" w:rsidR="004B7302" w:rsidRDefault="004B7302">
      <w:pPr>
        <w:spacing w:after="0" w:line="240" w:lineRule="auto"/>
        <w:ind w:left="10773" w:right="-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(Додаток 2.4 до Програми)</w:t>
      </w:r>
    </w:p>
    <w:p w14:paraId="1994E5C3" w14:textId="77777777" w:rsidR="004B7302" w:rsidRDefault="004B7302">
      <w:pPr>
        <w:spacing w:after="0" w:line="240" w:lineRule="auto"/>
        <w:ind w:right="-31"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003F2B08" w14:textId="77777777" w:rsidR="004B7302" w:rsidRDefault="004B730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Перелік завдань, заходів та показників на 2025 рік </w:t>
      </w:r>
    </w:p>
    <w:p w14:paraId="1262866F" w14:textId="77777777" w:rsidR="004B7302" w:rsidRDefault="004B730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Програми відновлення, збереження національної пам’яті</w:t>
      </w:r>
    </w:p>
    <w:p w14:paraId="68CC1076" w14:textId="77777777" w:rsidR="004B7302" w:rsidRDefault="004B7302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 протокольних заходів на 2021 – 2025 роки</w:t>
      </w:r>
    </w:p>
    <w:tbl>
      <w:tblPr>
        <w:tblpPr w:leftFromText="180" w:rightFromText="180" w:vertAnchor="text" w:tblpY="2"/>
        <w:tblOverlap w:val="never"/>
        <w:tblW w:w="154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1"/>
        <w:gridCol w:w="2183"/>
        <w:gridCol w:w="1919"/>
        <w:gridCol w:w="3443"/>
        <w:gridCol w:w="2195"/>
        <w:gridCol w:w="1236"/>
        <w:gridCol w:w="1025"/>
        <w:gridCol w:w="1224"/>
        <w:gridCol w:w="1813"/>
      </w:tblGrid>
      <w:tr w:rsidR="004B7302" w14:paraId="3E14BAB4" w14:textId="77777777">
        <w:tc>
          <w:tcPr>
            <w:tcW w:w="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7A079A7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6267F892" w14:textId="77777777" w:rsidR="004B7302" w:rsidRDefault="004B7302">
            <w:pPr>
              <w:spacing w:after="0" w:line="240" w:lineRule="auto"/>
              <w:ind w:right="-1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21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49B7F173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Назва завдання </w:t>
            </w:r>
          </w:p>
        </w:tc>
        <w:tc>
          <w:tcPr>
            <w:tcW w:w="19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30B69EA5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Перелік заходів завдання </w:t>
            </w:r>
          </w:p>
        </w:tc>
        <w:tc>
          <w:tcPr>
            <w:tcW w:w="3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8F0FFEC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Показники виконання заходу, один. виміру </w:t>
            </w:r>
          </w:p>
        </w:tc>
        <w:tc>
          <w:tcPr>
            <w:tcW w:w="21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096F4BA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Виконавець заходу показника</w:t>
            </w:r>
          </w:p>
        </w:tc>
        <w:tc>
          <w:tcPr>
            <w:tcW w:w="34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3A373DF1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Фінансування </w:t>
            </w:r>
          </w:p>
        </w:tc>
        <w:tc>
          <w:tcPr>
            <w:tcW w:w="18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4500D22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4B7302" w14:paraId="4F8D0AE4" w14:textId="77777777"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3C4B4DDA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2FF68275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EF78950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95B8E7E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87635BD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9F875D2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джерела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BCCAAD0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зміни, тис. грн</w:t>
            </w:r>
          </w:p>
          <w:p w14:paraId="25C1F03D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C2A259C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усього з урахуванням змін,    тис. грн</w:t>
            </w:r>
          </w:p>
          <w:p w14:paraId="17F19629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2A1A571F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302" w14:paraId="0173457D" w14:textId="77777777">
        <w:tc>
          <w:tcPr>
            <w:tcW w:w="1540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0E7A35E" w14:textId="77777777" w:rsidR="004B7302" w:rsidRDefault="004B7302">
            <w:pPr>
              <w:spacing w:after="0" w:line="240" w:lineRule="auto"/>
              <w:ind w:left="5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2025</w:t>
            </w:r>
          </w:p>
        </w:tc>
      </w:tr>
      <w:tr w:rsidR="004B7302" w14:paraId="7772AB05" w14:textId="77777777">
        <w:trPr>
          <w:trHeight w:val="4513"/>
        </w:trPr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3E3D7519" w14:textId="77777777" w:rsidR="004B7302" w:rsidRDefault="004B7302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6C20BC2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Проведення заходів з нагоди державних свят, знаменних дат місцевого значення та видатних особистостей  державотворення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D4A084F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 Проведення заходів меморіального, церемоніального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комомеративного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характеру (заходи державного та місцевого значення)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4C2DC20C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Затрат</w:t>
            </w:r>
          </w:p>
          <w:p w14:paraId="127A303C" w14:textId="77777777" w:rsidR="004B7302" w:rsidRDefault="004B7302">
            <w:pPr>
              <w:spacing w:after="0" w:line="240" w:lineRule="auto"/>
              <w:ind w:left="56" w:right="86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обсяг фінансового ресурсу, спрямованого на проведення заходів, тис. грн</w:t>
            </w:r>
          </w:p>
          <w:p w14:paraId="74993A85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Продукту</w:t>
            </w:r>
          </w:p>
          <w:p w14:paraId="35670085" w14:textId="77777777" w:rsidR="004B7302" w:rsidRDefault="004B7302">
            <w:pPr>
              <w:spacing w:after="0" w:line="240" w:lineRule="auto"/>
              <w:ind w:left="56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кількість проведених заходів, од.</w:t>
            </w:r>
          </w:p>
          <w:p w14:paraId="4B8BC010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Ефективності</w:t>
            </w:r>
          </w:p>
          <w:p w14:paraId="4B54062B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середня вартість проведення одного заходу, тис. грн</w:t>
            </w:r>
          </w:p>
          <w:p w14:paraId="717D9016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Якості</w:t>
            </w:r>
          </w:p>
          <w:p w14:paraId="790D8E7B" w14:textId="77777777" w:rsidR="004B7302" w:rsidRDefault="004B7302">
            <w:pPr>
              <w:spacing w:after="0" w:line="240" w:lineRule="auto"/>
              <w:ind w:left="56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відсоток виконання запланованих заходів, %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81FF381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CCD6838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F23E358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+130,0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ED566E1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530,0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BD8C39F" w14:textId="77777777" w:rsidR="004B7302" w:rsidRDefault="004B7302">
            <w:pPr>
              <w:spacing w:after="0" w:line="240" w:lineRule="auto"/>
              <w:ind w:left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Належне виконання </w:t>
            </w:r>
          </w:p>
          <w:p w14:paraId="15D5643C" w14:textId="77777777" w:rsidR="004B7302" w:rsidRDefault="004B7302">
            <w:pPr>
              <w:spacing w:after="0" w:line="240" w:lineRule="auto"/>
              <w:ind w:left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указів Президента України,  гідне відзначення державних свят, </w:t>
            </w:r>
          </w:p>
          <w:p w14:paraId="3673117D" w14:textId="77777777" w:rsidR="004B7302" w:rsidRDefault="004B7302">
            <w:pPr>
              <w:spacing w:after="0" w:line="240" w:lineRule="auto"/>
              <w:ind w:left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свят місцевого значення, пам’ятних дат та історичних подій</w:t>
            </w:r>
          </w:p>
        </w:tc>
      </w:tr>
      <w:tr w:rsidR="004B7302" w14:paraId="47408C42" w14:textId="77777777"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517CB04" w14:textId="77777777" w:rsidR="004B7302" w:rsidRDefault="004B7302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CD41704" w14:textId="77777777" w:rsidR="004B7302" w:rsidRDefault="004B7302">
            <w:pPr>
              <w:spacing w:after="0" w:line="240" w:lineRule="auto"/>
              <w:ind w:left="-73" w:right="-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Вшанування пам’яті визначних осіб, відзначення пам’ятних дат та пам’ятних місць за кордоном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F83E7FD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Проведення заходів з нагоди вшанування </w:t>
            </w:r>
          </w:p>
          <w:p w14:paraId="3267D8B6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пам’яті визначних осіб, відзначення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пам’ятних дат та пам’ятних місць за кордоном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4F18513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Затрат</w:t>
            </w:r>
          </w:p>
          <w:p w14:paraId="508B0444" w14:textId="77777777" w:rsidR="004B7302" w:rsidRDefault="004B7302">
            <w:pPr>
              <w:spacing w:after="0" w:line="240" w:lineRule="auto"/>
              <w:ind w:left="56" w:right="86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обсяг фінансового ресурсу, спрямованого на проведення заходів, тис.  грн</w:t>
            </w:r>
          </w:p>
          <w:p w14:paraId="002F80CB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Продукту</w:t>
            </w:r>
          </w:p>
          <w:p w14:paraId="396CA84A" w14:textId="77777777" w:rsidR="004B7302" w:rsidRDefault="004B7302">
            <w:pPr>
              <w:spacing w:after="0" w:line="240" w:lineRule="auto"/>
              <w:ind w:left="56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кількість проведених заходів,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од.</w:t>
            </w:r>
          </w:p>
          <w:p w14:paraId="1880EFBC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Ефективності</w:t>
            </w:r>
          </w:p>
          <w:p w14:paraId="2579C0C9" w14:textId="77777777" w:rsidR="004B7302" w:rsidRDefault="004B7302">
            <w:pPr>
              <w:spacing w:after="0" w:line="240" w:lineRule="auto"/>
              <w:ind w:left="56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середня вартість проведення одного заходу, тис.  грн</w:t>
            </w:r>
          </w:p>
          <w:p w14:paraId="4AE5AF6B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Якості</w:t>
            </w:r>
          </w:p>
          <w:p w14:paraId="688771E3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відсоток виконання запланованих заходів, %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2F28FF63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Департамент комунікацій та внутрішньої політики обласної державної адміністрації</w:t>
            </w:r>
          </w:p>
          <w:p w14:paraId="52DA3E59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996BDD1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Обласний бюджет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46FCBA77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0,0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88A4244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100,0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B1D1F25" w14:textId="77777777" w:rsidR="004B7302" w:rsidRDefault="004B7302">
            <w:pPr>
              <w:spacing w:after="0" w:line="240" w:lineRule="auto"/>
              <w:ind w:left="5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Організація та проведення на належному рівні заходів із вшанування пам’яті про 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lastRenderedPageBreak/>
              <w:t>визначних осіб, відзначення пам’ятних дат та місць за кордоном</w:t>
            </w:r>
          </w:p>
        </w:tc>
      </w:tr>
      <w:tr w:rsidR="004B7302" w14:paraId="0AA83D6C" w14:textId="77777777"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2519433" w14:textId="77777777" w:rsidR="004B7302" w:rsidRDefault="004B7302">
            <w:pPr>
              <w:spacing w:after="0" w:line="240" w:lineRule="auto"/>
              <w:ind w:right="-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EAF224C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Сприяння та підтримка досліджень української історії 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FC3992B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Виплата обласної премії імені Героя України Степана Бандери</w:t>
            </w:r>
          </w:p>
          <w:p w14:paraId="0DD8057A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3356E0BA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Затрат </w:t>
            </w:r>
          </w:p>
          <w:p w14:paraId="26F81D62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обсяг фінансового ресурсу, спрямованого на  виплату премії, тис.  грн</w:t>
            </w:r>
          </w:p>
          <w:p w14:paraId="178BFBF7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Продукту </w:t>
            </w:r>
          </w:p>
          <w:p w14:paraId="704DF185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кількість переможців премії,  од.</w:t>
            </w:r>
          </w:p>
          <w:p w14:paraId="79375D65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Ефективності </w:t>
            </w:r>
          </w:p>
          <w:p w14:paraId="5C06E30D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середня вартість однієї премії, тис.  грн</w:t>
            </w:r>
          </w:p>
          <w:p w14:paraId="0F415134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Якості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відсоток виплачених премій, %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7D4E572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Департамент комунікацій та внутрішньої політики обласної державної адміністрації 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D73310A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72D1250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0,0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4724846B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120,0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EF8D24A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Виконання рішення Львівської обласної ради від 16.03.2012 № 423</w:t>
            </w:r>
          </w:p>
        </w:tc>
      </w:tr>
      <w:tr w:rsidR="004B7302" w14:paraId="59EC4DDE" w14:textId="77777777">
        <w:tc>
          <w:tcPr>
            <w:tcW w:w="37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3491838" w14:textId="77777777" w:rsidR="004B7302" w:rsidRDefault="004B7302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18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6332131" w14:textId="77777777" w:rsidR="004B7302" w:rsidRDefault="004B7302">
            <w:pPr>
              <w:spacing w:after="0" w:line="240" w:lineRule="auto"/>
              <w:ind w:right="-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Сприяння реалізації політики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національ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ної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пам’яті у сфері увічнення пам’яті учасників національно-визвольної боротьби, жертв воєн, депортацій та політичних репресій на території Львівської області 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28D3098" w14:textId="77777777" w:rsidR="004B7302" w:rsidRDefault="004B7302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Внески до статутного капіталу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комунального підприємства Львівської обласної ради з питань здійснення пошуку поховань учасників національно-визвольних змагань та жертв воєн, депортацій і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політичних репресій  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«Доля» 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D8DD7E2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Затрат</w:t>
            </w:r>
          </w:p>
          <w:p w14:paraId="45A000CD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обсяг фінансового ресурсу, тис.  грн</w:t>
            </w:r>
          </w:p>
          <w:p w14:paraId="264B8114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39A3B67B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комунікацій та внутрішньої політики обласної державної адміністрації , КП ЛОР «Доля»</w:t>
            </w:r>
          </w:p>
          <w:p w14:paraId="589C5AD5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1558888" w14:textId="77777777" w:rsidR="004B7302" w:rsidRDefault="004B7302">
            <w:pPr>
              <w:spacing w:after="0" w:line="240" w:lineRule="auto"/>
              <w:ind w:lef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49637324" w14:textId="77777777" w:rsidR="004B7302" w:rsidRDefault="004B7302">
            <w:pPr>
              <w:spacing w:after="0" w:line="240" w:lineRule="auto"/>
              <w:ind w:left="-5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0,0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7450C97" w14:textId="77777777" w:rsidR="004B7302" w:rsidRDefault="004B7302">
            <w:pPr>
              <w:spacing w:after="0" w:line="240" w:lineRule="auto"/>
              <w:ind w:left="-5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0,0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F00B9FE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Збереження національної пам’яті про загиблих учасників національно- визвольної боротьби, жертв воєн, депортацій та політичних репресій </w:t>
            </w:r>
          </w:p>
        </w:tc>
      </w:tr>
      <w:tr w:rsidR="004B7302" w14:paraId="38448A0C" w14:textId="77777777">
        <w:tc>
          <w:tcPr>
            <w:tcW w:w="37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9741C95" w14:textId="77777777" w:rsidR="004B7302" w:rsidRDefault="004B7302">
            <w:pPr>
              <w:spacing w:after="0" w:line="240" w:lineRule="auto"/>
              <w:ind w:right="-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6795F49" w14:textId="77777777" w:rsidR="004B7302" w:rsidRDefault="004B7302">
            <w:pPr>
              <w:spacing w:after="0" w:line="240" w:lineRule="auto"/>
              <w:ind w:right="-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496796" w14:textId="77777777" w:rsidR="004B7302" w:rsidRPr="00FF4AA0" w:rsidRDefault="004B730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F4AA0">
              <w:rPr>
                <w:rFonts w:ascii="Times New Roman" w:hAnsi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 w:rsidRPr="00FF4A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4AA0">
              <w:rPr>
                <w:rFonts w:ascii="Times New Roman" w:hAnsi="Times New Roman"/>
                <w:sz w:val="24"/>
                <w:szCs w:val="24"/>
                <w:lang w:val="ru-RU"/>
              </w:rPr>
              <w:t>пошуку</w:t>
            </w:r>
            <w:proofErr w:type="spellEnd"/>
            <w:r w:rsidRPr="00FF4A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FF4AA0">
              <w:rPr>
                <w:rFonts w:ascii="Times New Roman" w:hAnsi="Times New Roman"/>
                <w:sz w:val="24"/>
                <w:szCs w:val="24"/>
                <w:lang w:val="ru-RU"/>
              </w:rPr>
              <w:t>впорядкування</w:t>
            </w:r>
            <w:proofErr w:type="spellEnd"/>
            <w:r w:rsidRPr="00FF4A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4AA0">
              <w:rPr>
                <w:rFonts w:ascii="Times New Roman" w:hAnsi="Times New Roman"/>
                <w:sz w:val="24"/>
                <w:szCs w:val="24"/>
                <w:lang w:val="ru-RU"/>
              </w:rPr>
              <w:t>поховань</w:t>
            </w:r>
            <w:proofErr w:type="spellEnd"/>
            <w:r w:rsidRPr="00FF4A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F4AA0">
              <w:rPr>
                <w:rFonts w:ascii="Times New Roman" w:hAnsi="Times New Roman"/>
                <w:sz w:val="24"/>
                <w:szCs w:val="24"/>
                <w:lang w:val="ru-RU"/>
              </w:rPr>
              <w:t>українців</w:t>
            </w:r>
            <w:proofErr w:type="spellEnd"/>
            <w:r w:rsidRPr="00FF4AA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 кордоном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017A6D4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Затрат </w:t>
            </w:r>
          </w:p>
          <w:p w14:paraId="0667FBD8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Обсяг фінансового ресурсу спрямованого на пошук та впорядкування поховань українців за закордоном, тис.  грн</w:t>
            </w:r>
          </w:p>
          <w:p w14:paraId="5E35455D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Продукту </w:t>
            </w:r>
          </w:p>
          <w:p w14:paraId="3CB2EDF5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Кількість впорядкованих поховань українців за закордоном,  од.</w:t>
            </w:r>
          </w:p>
          <w:p w14:paraId="375F9C6E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Ефективності </w:t>
            </w:r>
          </w:p>
          <w:p w14:paraId="6A010C4A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Середня вартість впорядкування місць поховань за закордоном, тис.  грн</w:t>
            </w:r>
          </w:p>
          <w:p w14:paraId="4541550A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Якості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відсоток впорядкованих поховань українців за закордоном, %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6683885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Департамент комунікацій та внутрішньої політики обласної державної адміністрації , КП ЛОР «Доля»</w:t>
            </w:r>
          </w:p>
          <w:p w14:paraId="174D48FF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AF609B9" w14:textId="77777777" w:rsidR="004B7302" w:rsidRDefault="004B7302">
            <w:pPr>
              <w:spacing w:after="0" w:line="240" w:lineRule="auto"/>
              <w:ind w:left="-5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BDFC2B2" w14:textId="77777777" w:rsidR="004B7302" w:rsidRDefault="004B7302">
            <w:pPr>
              <w:spacing w:after="0" w:line="240" w:lineRule="auto"/>
              <w:ind w:left="-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23CDAE3" w14:textId="77777777" w:rsidR="004B7302" w:rsidRDefault="004B7302">
            <w:pPr>
              <w:spacing w:after="0" w:line="240" w:lineRule="auto"/>
              <w:ind w:left="-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260,0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23A62775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Впорядкування та дослідження місць поховань українців за кордоном</w:t>
            </w:r>
          </w:p>
        </w:tc>
      </w:tr>
      <w:tr w:rsidR="004B7302" w14:paraId="3E68C853" w14:textId="77777777">
        <w:tc>
          <w:tcPr>
            <w:tcW w:w="3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3870C055" w14:textId="77777777" w:rsidR="004B7302" w:rsidRDefault="004B7302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1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88F4BC7" w14:textId="77777777" w:rsidR="004B7302" w:rsidRDefault="004B7302">
            <w:pPr>
              <w:spacing w:after="0" w:line="240" w:lineRule="auto"/>
              <w:ind w:left="-70" w:right="-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Забезпечення проведення </w:t>
            </w:r>
            <w:r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протокольних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та офіційних заходів обласної державної адміністрації  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C5AF567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Придбання подарункової, сувенірної продукції та іншої протокольної атрибутики для забезпечення проведення протокольних і офіційних заходів за участі офіційних осіб державного та регіонального рівня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885174F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Затрат</w:t>
            </w:r>
          </w:p>
          <w:p w14:paraId="44DBEF97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обсяг видатків на придбання продукції, </w:t>
            </w:r>
          </w:p>
          <w:p w14:paraId="44834F0B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тис. грн</w:t>
            </w:r>
          </w:p>
          <w:p w14:paraId="7C7C3501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Продукту </w:t>
            </w:r>
          </w:p>
          <w:p w14:paraId="440A69AA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кількість продукції, шт. </w:t>
            </w:r>
          </w:p>
          <w:p w14:paraId="5E8473CD" w14:textId="77777777" w:rsidR="004B7302" w:rsidRDefault="004B730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Ефективності</w:t>
            </w:r>
          </w:p>
          <w:p w14:paraId="1A5B5F89" w14:textId="77777777" w:rsidR="004B7302" w:rsidRDefault="004B730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середні витрати на одиницю придбаної продукції, грн</w:t>
            </w:r>
          </w:p>
          <w:p w14:paraId="3E6CB900" w14:textId="77777777" w:rsidR="004B7302" w:rsidRDefault="004B73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Якості</w:t>
            </w:r>
          </w:p>
          <w:p w14:paraId="6C02119C" w14:textId="77777777" w:rsidR="004B7302" w:rsidRDefault="004B730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відсоток забезпечення заходів продукцією, % 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266A7AFF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Апарат обласної державної адміністрації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DFD3CB6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70EF52C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+ 50,0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3E077C4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1288,0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55F91CB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Проведення на належному рівні офіційних та протокольних заходів обласною державною адміністрацією</w:t>
            </w:r>
          </w:p>
        </w:tc>
      </w:tr>
      <w:tr w:rsidR="004B7302" w14:paraId="17A43F13" w14:textId="77777777"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4D9FF1A" w14:textId="77777777" w:rsidR="004B7302" w:rsidRDefault="004B7302">
            <w:pPr>
              <w:spacing w:after="0" w:line="240" w:lineRule="auto"/>
              <w:ind w:right="-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4A1C7850" w14:textId="77777777" w:rsidR="004B7302" w:rsidRDefault="004B7302">
            <w:pPr>
              <w:spacing w:after="0" w:line="240" w:lineRule="auto"/>
              <w:ind w:left="-70" w:right="-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4140762B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Оподаткування подарункової та сувенірної продукції податком на доходи фізичних осіб та військовим збором</w:t>
            </w:r>
          </w:p>
        </w:tc>
        <w:tc>
          <w:tcPr>
            <w:tcW w:w="3444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tcMar>
              <w:left w:w="100" w:type="dxa"/>
              <w:right w:w="100" w:type="dxa"/>
            </w:tcMar>
          </w:tcPr>
          <w:p w14:paraId="6102390B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Затрат</w:t>
            </w:r>
          </w:p>
          <w:p w14:paraId="2D534AA4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обсяг фінансового ресурсу, спрямованого на сплату податків,  тис. грн</w:t>
            </w:r>
          </w:p>
          <w:p w14:paraId="6F6341C7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Продукту </w:t>
            </w:r>
          </w:p>
          <w:p w14:paraId="4DDF6514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кількість подарункової та сувенірної продукції, яка підлягає оподаткуванню,  шт. </w:t>
            </w:r>
          </w:p>
          <w:p w14:paraId="0E359ECA" w14:textId="77777777" w:rsidR="004B7302" w:rsidRDefault="004B730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Ефективності</w:t>
            </w:r>
          </w:p>
          <w:p w14:paraId="3A195BCA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Середній розмір податку на подарункову та сувенірну продукцію, грн</w:t>
            </w:r>
          </w:p>
          <w:p w14:paraId="79E314E5" w14:textId="77777777" w:rsidR="004B7302" w:rsidRDefault="004B73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Якості</w:t>
            </w:r>
          </w:p>
          <w:p w14:paraId="17A57E18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відсоток  оподаткованої подарункової та сувенірної продукції, % 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42E31D95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Апарат обласної державної адміністрації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DF2C62E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5A99F84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7594565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74,6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6C8279C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Оподаткування подарункової та сувенірної продукції</w:t>
            </w:r>
          </w:p>
        </w:tc>
      </w:tr>
      <w:tr w:rsidR="004B7302" w14:paraId="4203A0EA" w14:textId="77777777"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314869C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57CC5D2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EBDD723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Придбання квіткової продукції для забезпечення проведення протокольних і масових заходів за участі офіційних осіб державного та регіонального рівня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3F34F5B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Затрат:</w:t>
            </w:r>
          </w:p>
          <w:p w14:paraId="2838106E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обсяг видатків на придбання продукції рослинництва, тис. грн</w:t>
            </w:r>
          </w:p>
          <w:p w14:paraId="09DB128C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Продукту</w:t>
            </w:r>
          </w:p>
          <w:p w14:paraId="34633C62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кількість придбаної продукції рослинництва, шт.</w:t>
            </w:r>
          </w:p>
          <w:p w14:paraId="5E1045EE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Ефективності</w:t>
            </w:r>
          </w:p>
          <w:p w14:paraId="31579C7F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середні витрати на одиницю продукції рослинництва, грн</w:t>
            </w:r>
          </w:p>
          <w:p w14:paraId="091B703C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Якості</w:t>
            </w:r>
          </w:p>
          <w:p w14:paraId="7CAD54D5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відсоток забезпечення заходів продукцією рослинництва, % 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209C6192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Апарат обласної державної адміністрації</w:t>
            </w:r>
          </w:p>
          <w:p w14:paraId="2A57F0FD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AC4D050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3B783B98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- 10,0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E930858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39B3CE71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302" w14:paraId="32DD6CDD" w14:textId="77777777"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2040FF03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883CCEF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359EB86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4. Транспортні послуги під час проведення протокольних і масових заходів за участі офіційних осіб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державного та регіонального рівня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BAD79E0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Затрат</w:t>
            </w:r>
          </w:p>
          <w:p w14:paraId="29296C81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обсяг видатків на транспортне забезпечення, тис. грн</w:t>
            </w:r>
          </w:p>
          <w:p w14:paraId="35345A72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Продукту</w:t>
            </w:r>
          </w:p>
          <w:p w14:paraId="347E8921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кількість наданих транспортних послуг, од.</w:t>
            </w:r>
          </w:p>
          <w:p w14:paraId="755F75ED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Ефективності </w:t>
            </w:r>
          </w:p>
          <w:p w14:paraId="6A3BF51D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середні витрати на одиницю транспортних послуг, грн</w:t>
            </w:r>
          </w:p>
          <w:p w14:paraId="193748A8" w14:textId="77777777" w:rsidR="004B7302" w:rsidRDefault="004B7302">
            <w:pPr>
              <w:spacing w:after="0" w:line="240" w:lineRule="auto"/>
              <w:ind w:left="3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Якості</w:t>
            </w:r>
          </w:p>
          <w:p w14:paraId="78EB16D1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відсоток забезпечення заходів транспортними послугами, %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DD73C32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Апарат обласної</w:t>
            </w:r>
          </w:p>
          <w:p w14:paraId="752D3622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державної адміністрації 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282ACD0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4A2C8825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- 10,0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296FD274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41E96BE8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302" w14:paraId="38537789" w14:textId="77777777"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3A61BFF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468CEAF1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271DE935" w14:textId="77777777" w:rsidR="004B7302" w:rsidRDefault="004B7302">
            <w:pPr>
              <w:spacing w:after="0" w:line="240" w:lineRule="auto"/>
              <w:ind w:left="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5.Забезпечення організації та проведення офіційних прийомів під час проведення протокольних і масових заходів за участі офіційних осіб державного та регіонального рівня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41885EEF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Затрат</w:t>
            </w:r>
          </w:p>
          <w:p w14:paraId="27AED802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обсяг видатків на забезпечення  організації та проведення офіційних прийомів, тис. грн</w:t>
            </w:r>
          </w:p>
          <w:p w14:paraId="79A18EC1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Продукту</w:t>
            </w:r>
          </w:p>
          <w:p w14:paraId="45EE6DA3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кількість проведених офіційних прийомів, од.</w:t>
            </w:r>
          </w:p>
          <w:p w14:paraId="66F0D2DD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Ефективності</w:t>
            </w:r>
          </w:p>
          <w:p w14:paraId="3FD66185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середні витрати на проведення одного офіційного прийому, тис. грн </w:t>
            </w:r>
          </w:p>
          <w:p w14:paraId="1E68011D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Якості </w:t>
            </w:r>
          </w:p>
          <w:p w14:paraId="16FF6831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відсоток забезпечення заходів послугами  проведення офіційних прийомів, %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F4CCB2F" w14:textId="77777777" w:rsidR="004B7302" w:rsidRDefault="004B7302">
            <w:pPr>
              <w:spacing w:after="0" w:line="240" w:lineRule="auto"/>
              <w:ind w:left="120" w:hangingChars="50" w:hanging="12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Апарат обласної</w:t>
            </w:r>
          </w:p>
          <w:p w14:paraId="201BAA6F" w14:textId="77777777" w:rsidR="004B7302" w:rsidRDefault="004B7302">
            <w:pPr>
              <w:spacing w:after="0" w:line="240" w:lineRule="auto"/>
              <w:ind w:left="120" w:hangingChars="50" w:hanging="120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Державної</w:t>
            </w:r>
          </w:p>
          <w:p w14:paraId="60662E6D" w14:textId="77777777" w:rsidR="004B7302" w:rsidRDefault="004B7302">
            <w:pPr>
              <w:spacing w:after="0" w:line="240" w:lineRule="auto"/>
              <w:ind w:left="120" w:hangingChars="50" w:hanging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адміністрації 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4B0FFE16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3F9380D0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-30,0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8C177D8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11F497F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302" w14:paraId="06E6BFC9" w14:textId="77777777">
        <w:tc>
          <w:tcPr>
            <w:tcW w:w="3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51D99E9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BA66301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30CB73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6. Інші видатки (технічні та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клінінгові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послуги)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2FF9A317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Затрат</w:t>
            </w:r>
          </w:p>
          <w:p w14:paraId="16F2788F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обсяг видатків на забезпечення  організації надання послуг  тис. грн</w:t>
            </w:r>
          </w:p>
          <w:p w14:paraId="6F07B933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Продукту </w:t>
            </w:r>
          </w:p>
          <w:p w14:paraId="1658BCA9" w14:textId="77777777" w:rsidR="004B7302" w:rsidRDefault="004B7302">
            <w:pPr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кількість наданих послуг, од.</w:t>
            </w:r>
          </w:p>
          <w:p w14:paraId="654A5EDB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Ефективності</w:t>
            </w:r>
          </w:p>
          <w:p w14:paraId="7125F1FD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середні витрати на одну надану послугу, грн</w:t>
            </w:r>
          </w:p>
          <w:p w14:paraId="57C16F78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Якості</w:t>
            </w:r>
          </w:p>
          <w:p w14:paraId="32DE3279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відсоток забезпечення заходів іншими послугами, % 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1432AAB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Апарат обласної державної адміністрації  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8C8AC60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2589B8F1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2F88B5C4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32,4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2AB1ED3B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302" w14:paraId="2F8167BC" w14:textId="77777777">
        <w:tc>
          <w:tcPr>
            <w:tcW w:w="37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D584335" w14:textId="77777777" w:rsidR="004B7302" w:rsidRDefault="004B7302">
            <w:pPr>
              <w:spacing w:after="0" w:line="240" w:lineRule="auto"/>
              <w:ind w:right="-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1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E172325" w14:textId="77777777" w:rsidR="004B7302" w:rsidRDefault="004B7302">
            <w:pPr>
              <w:spacing w:after="0" w:line="240" w:lineRule="auto"/>
              <w:ind w:left="-73"/>
              <w:rPr>
                <w:rFonts w:ascii="Times New Roman" w:hAnsi="Times New Roman"/>
                <w:b/>
                <w:spacing w:val="-2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Відзначення грошовою </w:t>
            </w:r>
            <w:r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lastRenderedPageBreak/>
              <w:t>винагородою мешканців Львівщини</w:t>
            </w:r>
          </w:p>
        </w:tc>
        <w:tc>
          <w:tcPr>
            <w:tcW w:w="19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8AC0294" w14:textId="77777777" w:rsidR="004B7302" w:rsidRDefault="004B730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Відзначення мешканців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Львівщини грошовою винагородою за особистий внесок у зміцнення обороноздатності країни, активну громадську та волонтерську діяльність </w:t>
            </w:r>
          </w:p>
        </w:tc>
        <w:tc>
          <w:tcPr>
            <w:tcW w:w="344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9EBD42F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Затрат</w:t>
            </w:r>
          </w:p>
          <w:p w14:paraId="673808FB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обсяг фінансового ресурсу,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lastRenderedPageBreak/>
              <w:t>спрямованого на виплату грошової винагороди,</w:t>
            </w:r>
          </w:p>
          <w:p w14:paraId="6BBD7367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тис. грн.</w:t>
            </w:r>
          </w:p>
          <w:p w14:paraId="5E0117AC" w14:textId="77777777" w:rsidR="004B7302" w:rsidRDefault="004B7302">
            <w:pPr>
              <w:spacing w:after="0" w:line="240" w:lineRule="auto"/>
              <w:ind w:right="-10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Продукту</w:t>
            </w:r>
          </w:p>
          <w:p w14:paraId="6AF618FE" w14:textId="77777777" w:rsidR="004B7302" w:rsidRDefault="004B7302">
            <w:pPr>
              <w:spacing w:after="0" w:line="240" w:lineRule="auto"/>
              <w:ind w:right="-10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кількість відзначених осіб, од.</w:t>
            </w:r>
          </w:p>
          <w:p w14:paraId="7E29BD9C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Ефективності</w:t>
            </w:r>
          </w:p>
          <w:p w14:paraId="225BF4E5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середня вартість однієї винагороди, тис. грн</w:t>
            </w:r>
          </w:p>
          <w:p w14:paraId="3CCECC55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Якості</w:t>
            </w:r>
          </w:p>
          <w:p w14:paraId="6481BC3B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Відсоток виплачених грошових винагород,%</w:t>
            </w:r>
          </w:p>
        </w:tc>
        <w:tc>
          <w:tcPr>
            <w:tcW w:w="219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01F1E17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Апарат обласної державної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адміністрації</w:t>
            </w:r>
          </w:p>
        </w:tc>
        <w:tc>
          <w:tcPr>
            <w:tcW w:w="12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24D23F75" w14:textId="77777777" w:rsidR="004B7302" w:rsidRDefault="004B7302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Обласний бюджет</w:t>
            </w:r>
          </w:p>
          <w:p w14:paraId="30D942F2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9EA16C8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0,0</w:t>
            </w: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4478BA77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1 000,00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6964FD4" w14:textId="77777777" w:rsidR="004B7302" w:rsidRPr="006158A8" w:rsidRDefault="00FF4AA0">
            <w:pPr>
              <w:spacing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158A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Підвищення </w:t>
            </w:r>
            <w:r w:rsidR="004B7302" w:rsidRPr="006158A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активності </w:t>
            </w:r>
            <w:r w:rsidR="004B7302" w:rsidRPr="006158A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мешканців </w:t>
            </w:r>
            <w:r w:rsidRPr="006158A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щодо сприяння зміцненню обороноздатності держави </w:t>
            </w:r>
          </w:p>
        </w:tc>
      </w:tr>
      <w:tr w:rsidR="004B7302" w14:paraId="1983130E" w14:textId="77777777">
        <w:tc>
          <w:tcPr>
            <w:tcW w:w="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12756A78" w14:textId="77777777" w:rsidR="004B7302" w:rsidRDefault="004B7302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3D8248E6" w14:textId="77777777" w:rsidR="004B7302" w:rsidRDefault="004B7302">
            <w:pPr>
              <w:spacing w:after="0" w:line="240" w:lineRule="auto"/>
              <w:ind w:left="-7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Забезпечення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проведення </w:t>
            </w:r>
            <w:r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>протокольних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та офіційних заходів  обласної ради 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4A336816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1. Забезпечення організації та проведення прийомів з нагоди відзначення свят державного та регіонального значення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312CE73D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Затрат:</w:t>
            </w:r>
          </w:p>
          <w:p w14:paraId="22AFE16F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витрати на проведення прийомів з нагоди відзначення свят державного та регіонального значення, грн</w:t>
            </w:r>
          </w:p>
          <w:p w14:paraId="506823BC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Продукту</w:t>
            </w:r>
          </w:p>
          <w:p w14:paraId="462FB6EB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кількість організованих та проведених прийомів, од.</w:t>
            </w:r>
          </w:p>
          <w:p w14:paraId="2F89241F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Ефективності</w:t>
            </w:r>
          </w:p>
          <w:p w14:paraId="3B3B8F6E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середня вартість витрат на забезпечення проведення одного прийому, грн</w:t>
            </w:r>
          </w:p>
          <w:p w14:paraId="76FA4473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Якості</w:t>
            </w:r>
          </w:p>
          <w:p w14:paraId="7A20F9A4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відсоток вчасно проведених прийомів,%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E16112C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Львівська обласна рада, управління майном спільної власності Львівської обласної ради 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F9DA3EC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2DA64D88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5FF9281B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10,0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74847B82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Проведення на належному рівні офіційних та протокольних заходів обласною радою</w:t>
            </w:r>
          </w:p>
        </w:tc>
      </w:tr>
      <w:tr w:rsidR="004B7302" w14:paraId="3C82BA44" w14:textId="77777777"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547EB80E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1C67E53A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8D1AA60" w14:textId="77777777" w:rsidR="004B7302" w:rsidRDefault="004B7302">
            <w:pPr>
              <w:tabs>
                <w:tab w:val="left" w:pos="277"/>
              </w:tabs>
              <w:spacing w:after="0" w:line="240" w:lineRule="auto"/>
              <w:ind w:right="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2. Забезпечення подарункової та сувенірної продукції</w:t>
            </w:r>
          </w:p>
          <w:p w14:paraId="7E820993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DB65166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Затрат</w:t>
            </w:r>
          </w:p>
          <w:p w14:paraId="365D9FC8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витрати на придбання подарункової та сувенірної продукції, тис. грн</w:t>
            </w:r>
          </w:p>
          <w:p w14:paraId="40C77A72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Продукту</w:t>
            </w:r>
          </w:p>
          <w:p w14:paraId="3FB1497F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кількість придбаних сувенірів та подарунків, од.</w:t>
            </w:r>
          </w:p>
          <w:p w14:paraId="0F5D5E10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Ефективності</w:t>
            </w:r>
          </w:p>
          <w:p w14:paraId="0BEE45E3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середня вартість придбання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lastRenderedPageBreak/>
              <w:t>одного подарунка (сувеніра), тис. грн</w:t>
            </w:r>
          </w:p>
          <w:p w14:paraId="4EFBC02C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Якості</w:t>
            </w:r>
          </w:p>
          <w:p w14:paraId="2B08465B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відсоток придбаної подарункової та сувенірної продукції, %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77FD9E3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Львівська обласна рада,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управління майном спільної власності Львівської обласної ради 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ED6C894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0D9E45B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+485,0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121A4403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1 629,9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14AFEF79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302" w14:paraId="312CC8B0" w14:textId="77777777"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7E309D37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2A0C3101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30C0CE1A" w14:textId="77777777" w:rsidR="004B7302" w:rsidRDefault="004B7302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3.Забезпечення квіткової продукції</w:t>
            </w:r>
          </w:p>
          <w:p w14:paraId="6FAF9402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3DCE0564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Затрат</w:t>
            </w:r>
          </w:p>
          <w:p w14:paraId="23B1A020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витрати на придбання квіткової продукції, грн</w:t>
            </w:r>
          </w:p>
          <w:p w14:paraId="7058BA72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Продукту</w:t>
            </w:r>
          </w:p>
          <w:p w14:paraId="16F5AAEB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кількість придбаної квіткової продукції, од.</w:t>
            </w:r>
          </w:p>
          <w:p w14:paraId="69AAA474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Ефективності</w:t>
            </w:r>
          </w:p>
          <w:p w14:paraId="5273E0FD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середня вартість придбання одиниці квіткової продукції, грн</w:t>
            </w:r>
          </w:p>
          <w:p w14:paraId="428B2480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Якості </w:t>
            </w:r>
          </w:p>
          <w:p w14:paraId="6F040D20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відсоток забезпечення квітковою продукцією, %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788189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Львівська обласна рада,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управління майном спільної власності Львівської обласної ради 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F0E1073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99A0803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753214DB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1D57177D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302" w14:paraId="3E9C8C7F" w14:textId="77777777"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1E1BDD35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2E0208DB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F1A81CB" w14:textId="77777777" w:rsidR="004B7302" w:rsidRDefault="004B7302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4.Транспортне забезпечення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6F2001E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Затрат</w:t>
            </w:r>
          </w:p>
          <w:p w14:paraId="1CFB61A8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витрати на транспортне забезпечення, грн</w:t>
            </w:r>
          </w:p>
          <w:p w14:paraId="72DE2CF0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Продукту</w:t>
            </w:r>
          </w:p>
          <w:p w14:paraId="506EFB42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кількість замовлень транспортних послуг, од.</w:t>
            </w:r>
          </w:p>
          <w:p w14:paraId="4CA9E76C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Ефективності</w:t>
            </w:r>
          </w:p>
          <w:p w14:paraId="2D1FE8E9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середня вартість однієї транспортної послуги, грн</w:t>
            </w:r>
          </w:p>
          <w:p w14:paraId="3C3701D8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Якості</w:t>
            </w:r>
          </w:p>
          <w:p w14:paraId="254E9516" w14:textId="77777777" w:rsidR="004B7302" w:rsidRDefault="004B7302">
            <w:pPr>
              <w:spacing w:after="0" w:line="240" w:lineRule="auto"/>
              <w:ind w:right="-7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відсоток забезпечення транспортними послугами, %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2BA29C2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Львівська обласна рада,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управління майном спільної власності Львівської обласної ради 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4AE0DD3B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2F93ED89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590C7716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4E416A6C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302" w14:paraId="7E039B0F" w14:textId="77777777"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16C6C71F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62D1A1B6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F35BED3" w14:textId="77777777" w:rsidR="004B7302" w:rsidRDefault="004B7302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5.Інші заходи</w:t>
            </w:r>
          </w:p>
          <w:p w14:paraId="6BE67A38" w14:textId="77777777" w:rsidR="004B7302" w:rsidRDefault="004B7302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(оренда обладнання)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3EBA0D2" w14:textId="77777777" w:rsidR="004B7302" w:rsidRDefault="004B7302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Затрат</w:t>
            </w:r>
          </w:p>
          <w:p w14:paraId="0185501D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витрати на проведення інших заходів, грн</w:t>
            </w:r>
          </w:p>
          <w:p w14:paraId="725F285F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Продукту</w:t>
            </w:r>
          </w:p>
          <w:p w14:paraId="479CBB6D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кількість проведених інших заходів, од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62CF0DCD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>Ефективності</w:t>
            </w:r>
          </w:p>
          <w:p w14:paraId="3C515D12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середня вартість витрат на проведення одного іншого заходу, грн</w:t>
            </w:r>
          </w:p>
          <w:p w14:paraId="186C4F16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Якості</w:t>
            </w:r>
          </w:p>
          <w:p w14:paraId="0E22C6C7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відсоток вчасно проведених інших заходів, %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7307437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Львівська обласна рада,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управління майном спільної власності</w:t>
            </w:r>
          </w:p>
          <w:p w14:paraId="48E75D76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Львівської обласної ради  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EF95EE4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FBA47A9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585C21E4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618D1FA3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302" w14:paraId="6CA07B01" w14:textId="77777777"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6B608F66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726A2D1E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E51DBD8" w14:textId="77777777" w:rsidR="004B7302" w:rsidRDefault="004B7302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6.Придбання прапора (почесного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стяга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103 бригади)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56BE8BA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Затрат</w:t>
            </w:r>
          </w:p>
          <w:p w14:paraId="27CBF9C5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витрати на придбання прапора, тис. грн</w:t>
            </w:r>
          </w:p>
          <w:p w14:paraId="5739B802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Продукту</w:t>
            </w:r>
          </w:p>
          <w:p w14:paraId="5C54FC77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кількість придбаних прапорів, од.</w:t>
            </w:r>
          </w:p>
          <w:p w14:paraId="436655F8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Ефективності</w:t>
            </w:r>
          </w:p>
          <w:p w14:paraId="47FCE4C8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середня вартість придбаного прапора, тис. грн</w:t>
            </w:r>
          </w:p>
          <w:p w14:paraId="4BE1B6C1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Якості</w:t>
            </w:r>
          </w:p>
          <w:p w14:paraId="2D2CEBBF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відсоток придбаного прапора, %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2F5CCBDD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Львівська обласна рада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605B015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340E473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1B891347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60,0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74B55C3D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302" w14:paraId="6EA38B90" w14:textId="77777777">
        <w:tc>
          <w:tcPr>
            <w:tcW w:w="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639BD676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6C7F6BDE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F5A1F47" w14:textId="77777777" w:rsidR="004B7302" w:rsidRDefault="004B7302">
            <w:pPr>
              <w:spacing w:after="0" w:line="240" w:lineRule="auto"/>
              <w:ind w:right="-7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7.Забезпечення лампадками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F6EDBE7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Затрат</w:t>
            </w:r>
          </w:p>
          <w:p w14:paraId="0AF72987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витрати на придбання лампадок, тис. грн</w:t>
            </w:r>
          </w:p>
          <w:p w14:paraId="4700D637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Продукту</w:t>
            </w:r>
          </w:p>
          <w:p w14:paraId="0626E256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кількість придбаних лампадок, од.</w:t>
            </w:r>
          </w:p>
          <w:p w14:paraId="1CC5B55E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Ефективності</w:t>
            </w:r>
          </w:p>
          <w:p w14:paraId="67CB8C7F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середня вартість однієї лампадки, тис. грн</w:t>
            </w:r>
          </w:p>
          <w:p w14:paraId="06D9CA91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Якості</w:t>
            </w:r>
          </w:p>
          <w:p w14:paraId="6C3CDBC3" w14:textId="77777777" w:rsidR="004B7302" w:rsidRDefault="004B7302">
            <w:pPr>
              <w:spacing w:after="0" w:line="240" w:lineRule="auto"/>
              <w:ind w:right="-2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відсоток забезпечення лампадок, %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5C7C5CB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Львівська обласна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радаЛьвівська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обласна рада, управління майном спільної власності Львівської обласної ради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BFBE3A0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95833BC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27C59F7F" w14:textId="77777777" w:rsidR="004B7302" w:rsidRDefault="004B7302">
            <w:pPr>
              <w:spacing w:after="0" w:line="240" w:lineRule="auto"/>
              <w:ind w:left="1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0" w:type="dxa"/>
              <w:right w:w="100" w:type="dxa"/>
            </w:tcMar>
          </w:tcPr>
          <w:p w14:paraId="638489B3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302" w14:paraId="1385DA5B" w14:textId="77777777">
        <w:tc>
          <w:tcPr>
            <w:tcW w:w="37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32E16F7" w14:textId="77777777" w:rsidR="004B7302" w:rsidRDefault="004B730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6A33BAC0" w14:textId="77777777" w:rsidR="004B7302" w:rsidRDefault="004B730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t xml:space="preserve">Відзначення грошовою винагородою мешканців </w:t>
            </w:r>
            <w:r>
              <w:rPr>
                <w:rFonts w:ascii="Times New Roman" w:hAnsi="Times New Roman"/>
                <w:b/>
                <w:spacing w:val="-20"/>
                <w:sz w:val="24"/>
                <w:szCs w:val="24"/>
              </w:rPr>
              <w:lastRenderedPageBreak/>
              <w:t>Львівщини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D903A5B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1. Відзначення мешканців Львівщини грошовою винагородою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особистий внесок у зміцнення обороноздатності країни, активну громадську та волонтерську діяльність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011B9066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Затрат</w:t>
            </w:r>
          </w:p>
          <w:p w14:paraId="197F5CA5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обсяг фінансового ресурсу, спрямованого на виплату грошової винагороди,</w:t>
            </w:r>
          </w:p>
          <w:p w14:paraId="4611D346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тис. грн.</w:t>
            </w:r>
          </w:p>
          <w:p w14:paraId="34E305A6" w14:textId="77777777" w:rsidR="004B7302" w:rsidRDefault="004B7302">
            <w:pPr>
              <w:spacing w:after="0" w:line="240" w:lineRule="auto"/>
              <w:ind w:right="-10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Продукту</w:t>
            </w:r>
          </w:p>
          <w:p w14:paraId="045C91F7" w14:textId="77777777" w:rsidR="004B7302" w:rsidRDefault="004B7302">
            <w:pPr>
              <w:spacing w:after="0" w:line="240" w:lineRule="auto"/>
              <w:ind w:right="-105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кількість відзначених осіб, од.</w:t>
            </w:r>
          </w:p>
          <w:p w14:paraId="6E587058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Ефективності</w:t>
            </w:r>
          </w:p>
          <w:p w14:paraId="51DAC1F9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середня вартість однієї винагороди, тис. грн</w:t>
            </w:r>
          </w:p>
          <w:p w14:paraId="50505DC6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Якості</w:t>
            </w:r>
          </w:p>
          <w:p w14:paraId="362A597C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Відсоток виплачених грошових винагород,%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1B7BABF" w14:textId="77777777" w:rsidR="004B7302" w:rsidRDefault="004B73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Львівська обласна рада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5083FCEA" w14:textId="77777777" w:rsidR="004B7302" w:rsidRDefault="004B7302">
            <w:pPr>
              <w:spacing w:after="0" w:line="240" w:lineRule="auto"/>
              <w:ind w:left="-95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Обласний бюджет</w:t>
            </w:r>
          </w:p>
          <w:p w14:paraId="728A7A71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45882E4C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+400,0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464ED28" w14:textId="77777777" w:rsidR="004B7302" w:rsidRDefault="004B730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400,0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7EEADF4F" w14:textId="77777777" w:rsidR="004B7302" w:rsidRPr="006158A8" w:rsidRDefault="0040230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58A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Підвищення активності мешканців щодо сприяння зміцненню </w:t>
            </w:r>
            <w:r w:rsidRPr="006158A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обороноздатності держави </w:t>
            </w:r>
          </w:p>
        </w:tc>
      </w:tr>
      <w:tr w:rsidR="00EC4264" w14:paraId="3754BCAB" w14:textId="77777777" w:rsidTr="00EC4264">
        <w:tc>
          <w:tcPr>
            <w:tcW w:w="11351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111683E4" w14:textId="77777777" w:rsidR="00EC4264" w:rsidRDefault="00EC4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УСЬОГО</w:t>
            </w:r>
          </w:p>
        </w:tc>
        <w:tc>
          <w:tcPr>
            <w:tcW w:w="10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27CE8976" w14:textId="77777777" w:rsidR="00EC4264" w:rsidRDefault="00EC426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+10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left w:w="100" w:type="dxa"/>
              <w:right w:w="100" w:type="dxa"/>
            </w:tcMar>
          </w:tcPr>
          <w:p w14:paraId="397C4038" w14:textId="77777777" w:rsidR="00EC4264" w:rsidRDefault="00EC4264" w:rsidP="00EC4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1D7">
              <w:rPr>
                <w:rFonts w:ascii="Times New Roman" w:hAnsi="Times New Roman"/>
                <w:b/>
                <w:i/>
                <w:sz w:val="24"/>
                <w:szCs w:val="24"/>
              </w:rPr>
              <w:t>5 6</w:t>
            </w:r>
            <w:r w:rsidRPr="000051D7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0</w:t>
            </w:r>
            <w:r w:rsidRPr="000051D7">
              <w:rPr>
                <w:rFonts w:ascii="Times New Roman" w:hAnsi="Times New Roman"/>
                <w:b/>
                <w:i/>
                <w:sz w:val="24"/>
                <w:szCs w:val="24"/>
              </w:rPr>
              <w:t>4,9</w:t>
            </w:r>
          </w:p>
        </w:tc>
        <w:tc>
          <w:tcPr>
            <w:tcW w:w="18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EB881B4" w14:textId="77777777" w:rsidR="00EC4264" w:rsidRDefault="00EC4264" w:rsidP="00EC42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8D6C3B6" w14:textId="77777777" w:rsidR="004B7302" w:rsidRDefault="004B73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21F03EB" w14:textId="77777777" w:rsidR="004B7302" w:rsidRDefault="004B73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AE6304E" w14:textId="77777777" w:rsidR="004B7302" w:rsidRDefault="004B73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BD7E365" w14:textId="77777777" w:rsidR="004B7302" w:rsidRDefault="004B730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</w:t>
      </w:r>
    </w:p>
    <w:sectPr w:rsidR="004B7302">
      <w:headerReference w:type="default" r:id="rId7"/>
      <w:pgSz w:w="16838" w:h="11906" w:orient="landscape"/>
      <w:pgMar w:top="568" w:right="1134" w:bottom="567" w:left="1134" w:header="708" w:footer="708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BD7AF" w14:textId="77777777" w:rsidR="00136BFB" w:rsidRDefault="00136B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separator/>
      </w:r>
    </w:p>
  </w:endnote>
  <w:endnote w:type="continuationSeparator" w:id="0">
    <w:p w14:paraId="6A4C100E" w14:textId="77777777" w:rsidR="00136BFB" w:rsidRDefault="00136B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07471" w14:textId="77777777" w:rsidR="00136BFB" w:rsidRDefault="00136B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separator/>
      </w:r>
    </w:p>
  </w:footnote>
  <w:footnote w:type="continuationSeparator" w:id="0">
    <w:p w14:paraId="366FE843" w14:textId="77777777" w:rsidR="00136BFB" w:rsidRDefault="00136B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C3CA1" w14:textId="77777777" w:rsidR="004B7302" w:rsidRDefault="004B7302">
    <w:pPr>
      <w:pStyle w:val="a4"/>
      <w:tabs>
        <w:tab w:val="center" w:pos="7285"/>
        <w:tab w:val="left" w:pos="10951"/>
      </w:tabs>
      <w:rPr>
        <w:rFonts w:ascii="Times New Roman" w:hAnsi="Times New Roman"/>
        <w:sz w:val="24"/>
        <w:szCs w:val="24"/>
        <w:lang w:val="en-US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EC4264">
      <w:rPr>
        <w:noProof/>
      </w:rPr>
      <w:t>9</w:t>
    </w:r>
    <w:r>
      <w:fldChar w:fldCharType="end"/>
    </w:r>
    <w:r>
      <w:tab/>
    </w:r>
    <w:r>
      <w:tab/>
    </w:r>
    <w:r>
      <w:rPr>
        <w:rFonts w:ascii="Times New Roman" w:hAnsi="Times New Roman"/>
        <w:sz w:val="24"/>
        <w:szCs w:val="24"/>
      </w:rPr>
      <w:t>Продовження додатка</w:t>
    </w:r>
    <w:r>
      <w:rPr>
        <w:rFonts w:ascii="Times New Roman" w:hAnsi="Times New Roman"/>
        <w:sz w:val="24"/>
        <w:szCs w:val="24"/>
        <w:lang w:val="en-US"/>
      </w:rPr>
      <w:t xml:space="preserve"> </w:t>
    </w:r>
  </w:p>
  <w:p w14:paraId="6E6EC9C6" w14:textId="77777777" w:rsidR="004B7302" w:rsidRDefault="004B73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10A7CC3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Times New Roman" w:hAnsi="Wingdings"/>
      </w:rPr>
    </w:lvl>
  </w:abstractNum>
  <w:abstractNum w:abstractNumId="1" w15:restartNumberingAfterBreak="0">
    <w:nsid w:val="BEB7B9B7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Times New Roman" w:hAnsi="Wingdings"/>
      </w:rPr>
    </w:lvl>
  </w:abstractNum>
  <w:abstractNum w:abstractNumId="2" w15:restartNumberingAfterBreak="0">
    <w:nsid w:val="D0A019EB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/>
      </w:rPr>
    </w:lvl>
  </w:abstractNum>
  <w:abstractNum w:abstractNumId="3" w15:restartNumberingAfterBreak="0">
    <w:nsid w:val="E0A5A7F3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4" w15:restartNumberingAfterBreak="0">
    <w:nsid w:val="F79C7B8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5" w15:restartNumberingAfterBreak="0">
    <w:nsid w:val="083D45E0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Times New Roman" w:hAnsi="Wingdings"/>
      </w:rPr>
    </w:lvl>
  </w:abstractNum>
  <w:abstractNum w:abstractNumId="6" w15:restartNumberingAfterBreak="0">
    <w:nsid w:val="2619F761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51B0B76E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8" w15:restartNumberingAfterBreak="0">
    <w:nsid w:val="69FAD1C1"/>
    <w:multiLevelType w:val="hybridMultilevel"/>
    <w:tmpl w:val="FFFFFFFF"/>
    <w:lvl w:ilvl="0" w:tplc="FFFFFFFF">
      <w:start w:val="2"/>
      <w:numFmt w:val="decimal"/>
      <w:suff w:val="space"/>
      <w:lvlText w:val="%1."/>
      <w:lvlJc w:val="left"/>
      <w:rPr>
        <w:rFonts w:cs="Times New Roman"/>
      </w:rPr>
    </w:lvl>
    <w:lvl w:ilvl="1" w:tplc="FFFFFFFF">
      <w:start w:val="1"/>
      <w:numFmt w:val="decimal"/>
      <w:lvlText w:val="."/>
      <w:lvlJc w:val="left"/>
      <w:rPr>
        <w:rFonts w:cs="Times New Roman"/>
      </w:rPr>
    </w:lvl>
    <w:lvl w:ilvl="2" w:tplc="FFFFFFFF">
      <w:start w:val="1"/>
      <w:numFmt w:val="decimal"/>
      <w:lvlText w:val="."/>
      <w:lvlJc w:val="left"/>
      <w:rPr>
        <w:rFonts w:cs="Times New Roman"/>
      </w:rPr>
    </w:lvl>
    <w:lvl w:ilvl="3" w:tplc="FFFFFFFF">
      <w:start w:val="1"/>
      <w:numFmt w:val="decimal"/>
      <w:lvlText w:val="."/>
      <w:lvlJc w:val="left"/>
      <w:rPr>
        <w:rFonts w:cs="Times New Roman"/>
      </w:rPr>
    </w:lvl>
    <w:lvl w:ilvl="4" w:tplc="FFFFFFFF">
      <w:start w:val="1"/>
      <w:numFmt w:val="decimal"/>
      <w:lvlText w:val="."/>
      <w:lvlJc w:val="left"/>
      <w:rPr>
        <w:rFonts w:cs="Times New Roman"/>
      </w:rPr>
    </w:lvl>
    <w:lvl w:ilvl="5" w:tplc="FFFFFFFF">
      <w:start w:val="1"/>
      <w:numFmt w:val="decimal"/>
      <w:lvlText w:val="."/>
      <w:lvlJc w:val="left"/>
      <w:rPr>
        <w:rFonts w:cs="Times New Roman"/>
      </w:rPr>
    </w:lvl>
    <w:lvl w:ilvl="6" w:tplc="FFFFFFFF">
      <w:start w:val="1"/>
      <w:numFmt w:val="decimal"/>
      <w:lvlText w:val="."/>
      <w:lvlJc w:val="left"/>
      <w:rPr>
        <w:rFonts w:cs="Times New Roman"/>
      </w:rPr>
    </w:lvl>
    <w:lvl w:ilvl="7" w:tplc="FFFFFFFF">
      <w:start w:val="1"/>
      <w:numFmt w:val="decimal"/>
      <w:lvlText w:val="."/>
      <w:lvlJc w:val="left"/>
      <w:rPr>
        <w:rFonts w:cs="Times New Roman"/>
      </w:rPr>
    </w:lvl>
    <w:lvl w:ilvl="8" w:tplc="FFFFFFFF">
      <w:start w:val="1"/>
      <w:numFmt w:val="decimal"/>
      <w:lvlText w:val="."/>
      <w:lvlJc w:val="left"/>
      <w:rPr>
        <w:rFonts w:cs="Times New Roman"/>
      </w:rPr>
    </w:lvl>
  </w:abstractNum>
  <w:abstractNum w:abstractNumId="9" w15:restartNumberingAfterBreak="0">
    <w:nsid w:val="749CF239"/>
    <w:multiLevelType w:val="hybridMultilevel"/>
    <w:tmpl w:val="FFFFFFFF"/>
    <w:lvl w:ilvl="0" w:tplc="FFFFFFFF">
      <w:start w:val="1"/>
      <w:numFmt w:val="decimal"/>
      <w:suff w:val="space"/>
      <w:lvlText w:val="%1."/>
      <w:lvlJc w:val="left"/>
      <w:rPr>
        <w:rFonts w:cs="Times New Roman"/>
      </w:rPr>
    </w:lvl>
    <w:lvl w:ilvl="1" w:tplc="FFFFFFFF">
      <w:start w:val="1"/>
      <w:numFmt w:val="decimal"/>
      <w:lvlText w:val="."/>
      <w:lvlJc w:val="left"/>
      <w:rPr>
        <w:rFonts w:cs="Times New Roman"/>
      </w:rPr>
    </w:lvl>
    <w:lvl w:ilvl="2" w:tplc="FFFFFFFF">
      <w:start w:val="1"/>
      <w:numFmt w:val="decimal"/>
      <w:lvlText w:val="."/>
      <w:lvlJc w:val="left"/>
      <w:rPr>
        <w:rFonts w:cs="Times New Roman"/>
      </w:rPr>
    </w:lvl>
    <w:lvl w:ilvl="3" w:tplc="FFFFFFFF">
      <w:start w:val="1"/>
      <w:numFmt w:val="decimal"/>
      <w:lvlText w:val="."/>
      <w:lvlJc w:val="left"/>
      <w:rPr>
        <w:rFonts w:cs="Times New Roman"/>
      </w:rPr>
    </w:lvl>
    <w:lvl w:ilvl="4" w:tplc="FFFFFFFF">
      <w:start w:val="1"/>
      <w:numFmt w:val="decimal"/>
      <w:lvlText w:val="."/>
      <w:lvlJc w:val="left"/>
      <w:rPr>
        <w:rFonts w:cs="Times New Roman"/>
      </w:rPr>
    </w:lvl>
    <w:lvl w:ilvl="5" w:tplc="FFFFFFFF">
      <w:start w:val="1"/>
      <w:numFmt w:val="decimal"/>
      <w:lvlText w:val="."/>
      <w:lvlJc w:val="left"/>
      <w:rPr>
        <w:rFonts w:cs="Times New Roman"/>
      </w:rPr>
    </w:lvl>
    <w:lvl w:ilvl="6" w:tplc="FFFFFFFF">
      <w:start w:val="1"/>
      <w:numFmt w:val="decimal"/>
      <w:lvlText w:val="."/>
      <w:lvlJc w:val="left"/>
      <w:rPr>
        <w:rFonts w:cs="Times New Roman"/>
      </w:rPr>
    </w:lvl>
    <w:lvl w:ilvl="7" w:tplc="FFFFFFFF">
      <w:start w:val="1"/>
      <w:numFmt w:val="decimal"/>
      <w:lvlText w:val="."/>
      <w:lvlJc w:val="left"/>
      <w:rPr>
        <w:rFonts w:cs="Times New Roman"/>
      </w:rPr>
    </w:lvl>
    <w:lvl w:ilvl="8" w:tplc="FFFFFFFF">
      <w:start w:val="1"/>
      <w:numFmt w:val="decimal"/>
      <w:lvlText w:val="."/>
      <w:lvlJc w:val="left"/>
      <w:rPr>
        <w:rFonts w:cs="Times New Roman"/>
      </w:rPr>
    </w:lvl>
  </w:abstractNum>
  <w:abstractNum w:abstractNumId="10" w15:restartNumberingAfterBreak="0">
    <w:nsid w:val="74C86CDB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Times New Roman" w:hAnsi="Wingdings"/>
      </w:rPr>
    </w:lvl>
  </w:abstractNum>
  <w:abstractNum w:abstractNumId="11" w15:restartNumberingAfterBreak="0">
    <w:nsid w:val="7893BB60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num w:numId="1" w16cid:durableId="210771106">
    <w:abstractNumId w:val="8"/>
  </w:num>
  <w:num w:numId="2" w16cid:durableId="4260061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drawingGridVerticalSpacing w:val="156"/>
  <w:characterSpacingControl w:val="doNotCompress"/>
  <w:noLineBreaksAfter w:lang="ja-JP" w:val="([{·‘“〈《「『【〔〖（．［｛￡￥"/>
  <w:noLineBreaksBefore w:lang="ja-JP" w:val="!),.:;?]}¨·ˇˉ―‖’”…∶、。〃々〉》」』】〕〗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1D7"/>
    <w:rsid w:val="000051D7"/>
    <w:rsid w:val="00136BFB"/>
    <w:rsid w:val="00402305"/>
    <w:rsid w:val="004B7302"/>
    <w:rsid w:val="006158A8"/>
    <w:rsid w:val="00782390"/>
    <w:rsid w:val="00C54B3C"/>
    <w:rsid w:val="00EC4264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C15064"/>
  <w14:defaultImageDpi w14:val="0"/>
  <w15:docId w15:val="{CFB5AE87-326E-467C-93F9-8F63CCAE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kern w:val="2"/>
        <w:sz w:val="24"/>
        <w:szCs w:val="24"/>
        <w:lang w:val="uk-UA" w:eastAsia="uk-UA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DengXian" w:hAnsi="Calibri"/>
      <w:kern w:val="0"/>
      <w:sz w:val="22"/>
      <w:szCs w:val="2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basedOn w:val="a0"/>
    <w:link w:val="a4"/>
    <w:uiPriority w:val="99"/>
    <w:rPr>
      <w:rFonts w:ascii="Calibri" w:eastAsia="DengXian" w:hAnsi="Calibri" w:cs="Times New Roman"/>
      <w:sz w:val="22"/>
      <w:szCs w:val="22"/>
    </w:rPr>
  </w:style>
  <w:style w:type="paragraph" w:customStyle="1" w:styleId="2">
    <w:name w:val="Звичайний2"/>
    <w:uiPriority w:val="99"/>
    <w:pPr>
      <w:spacing w:after="0" w:line="276" w:lineRule="auto"/>
    </w:pPr>
    <w:rPr>
      <w:rFonts w:ascii="Arial" w:eastAsia="Times New Roman" w:hAnsi="SimSun" w:cs="Arial"/>
      <w:kern w:val="0"/>
      <w:sz w:val="22"/>
      <w:szCs w:val="22"/>
    </w:rPr>
  </w:style>
  <w:style w:type="paragraph" w:styleId="a4">
    <w:name w:val="header"/>
    <w:basedOn w:val="a"/>
    <w:link w:val="a3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Верхній колонтитул Знак1"/>
    <w:basedOn w:val="a0"/>
    <w:uiPriority w:val="99"/>
    <w:semiHidden/>
    <w:rPr>
      <w:rFonts w:ascii="Calibri" w:eastAsia="DengXian" w:hAnsi="Calibri"/>
      <w:kern w:val="0"/>
      <w:sz w:val="22"/>
      <w:szCs w:val="22"/>
    </w:rPr>
  </w:style>
  <w:style w:type="character" w:customStyle="1" w:styleId="12">
    <w:name w:val="Верхній колонтитул Знак12"/>
    <w:basedOn w:val="a0"/>
    <w:uiPriority w:val="99"/>
    <w:semiHidden/>
    <w:rPr>
      <w:rFonts w:ascii="Calibri" w:eastAsia="DengXian" w:hAnsi="Calibri" w:cs="Times New Roman"/>
      <w:kern w:val="0"/>
      <w:sz w:val="22"/>
      <w:szCs w:val="22"/>
    </w:rPr>
  </w:style>
  <w:style w:type="character" w:customStyle="1" w:styleId="11">
    <w:name w:val="Верхній колонтитул Знак11"/>
    <w:basedOn w:val="a0"/>
    <w:uiPriority w:val="99"/>
    <w:semiHidden/>
    <w:rPr>
      <w:rFonts w:ascii="Calibri" w:eastAsia="DengXian" w:hAnsi="Calibri" w:cs="Times New Roman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7049</Words>
  <Characters>4018</Characters>
  <Application>Microsoft Office Word</Application>
  <DocSecurity>0</DocSecurity>
  <Lines>33</Lines>
  <Paragraphs>22</Paragraphs>
  <ScaleCrop>false</ScaleCrop>
  <Company/>
  <LinksUpToDate>false</LinksUpToDate>
  <CharactersWithSpaces>11045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zahod</dc:creator>
  <cp:keywords/>
  <dc:description/>
  <cp:lastModifiedBy>user</cp:lastModifiedBy>
  <cp:revision>2</cp:revision>
  <dcterms:created xsi:type="dcterms:W3CDTF">2025-11-28T08:41:00Z</dcterms:created>
  <dcterms:modified xsi:type="dcterms:W3CDTF">2025-11-28T08:41:00Z</dcterms:modified>
</cp:coreProperties>
</file>